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4,509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2025-07-06 14:53:31.448557</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2024</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observational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3, 4</w:t>
      </w:r>
      <w:r>
        <w:t xml:space="preserve"> </w:t>
      </w:r>
      <w:r>
        <w:t xml:space="preserve">adoption of changes in treatment guidelines over time in routine clinical care and the inability to measure and emulate common eligibility criteria, including prognostic factors, and standardized response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is necessary to increase confidence in the interpretability of observational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increased our understanding of when observational studies can come to causal conclusions on treatment effects by benchmarking results against RCTs under the assumption that each RCT finding reflects a causal treatment effect. In settings where the RCT designs could be emulated well, observational studies were able to reach similar conclusions.</w:t>
      </w:r>
      <w:r>
        <w:rPr>
          <w:vertAlign w:val="superscript"/>
        </w:rPr>
        <w:t xml:space="preserve">9</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11, 12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observational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15, 16</w:t>
      </w:r>
      <w:r>
        <w:t xml:space="preserve">, imaging-based evaluations still require a level of granularity which is not well reflected in chart-abstracted assessments of a patient’s progression in routine care.</w:t>
      </w:r>
      <w:r>
        <w:rPr>
          <w:vertAlign w:val="superscript"/>
        </w:rPr>
        <w:t xml:space="preserve">17, 18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21, 22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23, 24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28</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8, 30</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35</w:t>
      </w:r>
      <w:r>
        <w:t xml:space="preserve"> </w:t>
      </w:r>
      <w:r>
        <w:t xml:space="preserve">Hence, methodologies which retain otherwise eligible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8, 30</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observational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rPr>
          <w:b/>
          <w:bCs/>
        </w:rPr>
        <w:t xml:space="preserve">1</w:t>
      </w:r>
      <w:r>
        <w:t xml:space="preserve">. Framework for FDA’s real-world evidence program (last accessed 11/28/2024) [Internet], 2018Available from:</w:t>
      </w:r>
      <w:r>
        <w:t xml:space="preserve"> </w:t>
      </w:r>
      <w:hyperlink r:id="rId41">
        <w:r>
          <w:rPr>
            <w:rStyle w:val="Hyperlink"/>
          </w:rPr>
          <w:t xml:space="preserve">https://www.fda.gov/media/120060/download?attachment</w:t>
        </w:r>
      </w:hyperlink>
    </w:p>
    <w:bookmarkEnd w:id="42"/>
    <w:bookmarkStart w:id="43" w:name="ref-mullard20242023"/>
    <w:p>
      <w:pPr>
        <w:pStyle w:val="Bibliography"/>
      </w:pPr>
      <w:r>
        <w:rPr>
          <w:b/>
          <w:bCs/>
        </w:rPr>
        <w:t xml:space="preserve">2</w:t>
      </w:r>
      <w:r>
        <w:t xml:space="preserve">. Mullard A: 2023 FDA approvals. Nat Rev Drug Discov 23:88–95, 2024</w:t>
      </w:r>
    </w:p>
    <w:bookmarkEnd w:id="43"/>
    <w:bookmarkStart w:id="45" w:name="ref-Merola2022"/>
    <w:p>
      <w:pPr>
        <w:pStyle w:val="Bibliography"/>
      </w:pPr>
      <w:r>
        <w:rPr>
          <w:b/>
          <w:bCs/>
        </w:rPr>
        <w:t xml:space="preserve">3</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4</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5</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6</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7</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8</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9</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10</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11</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12</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13</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14</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15</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16</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17</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18</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19</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20</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22</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23</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24</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5"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4">
        <w:r>
          <w:rPr>
            <w:rStyle w:val="Hyperlink"/>
          </w:rPr>
          <w:t xml:space="preserve">http://dx.doi.org/10.1002/pst.1917</w:t>
        </w:r>
      </w:hyperlink>
    </w:p>
    <w:bookmarkEnd w:id="75"/>
    <w:bookmarkStart w:id="76" w:name="ref-manitz2022estimands"/>
    <w:p>
      <w:pPr>
        <w:pStyle w:val="Bibliography"/>
      </w:pPr>
      <w:r>
        <w:rPr>
          <w:b/>
          <w:bCs/>
        </w:rPr>
        <w:t xml:space="preserve">26</w:t>
      </w:r>
      <w:r>
        <w:t xml:space="preserve">. Manitz J, Kan-Dobrosky N, Buchner H, et al: Estimands for overall survival in clinical trials with treatment switching in oncology. Pharmaceutical Statistics 21:150–162, 2022</w:t>
      </w:r>
    </w:p>
    <w:bookmarkEnd w:id="76"/>
    <w:bookmarkStart w:id="77" w:name="ref-meyer2020open"/>
    <w:p>
      <w:pPr>
        <w:pStyle w:val="Bibliography"/>
      </w:pPr>
      <w:r>
        <w:rPr>
          <w:b/>
          <w:bCs/>
        </w:rPr>
        <w:t xml:space="preserve">27</w:t>
      </w:r>
      <w:r>
        <w:t xml:space="preserve">. Meyer A-M, Davies J, Taylor M, et al: Open cohorts and ghost-time bias in real world data, in PHARMACOEPIDEMIOLOGY AND DRUG SAFETY. WILEY 111 RIVER ST, HOBOKEN 07030-5774, NJ USA, 2020, pp 426–426</w:t>
      </w:r>
    </w:p>
    <w:bookmarkEnd w:id="77"/>
    <w:bookmarkStart w:id="78"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8"/>
    <w:bookmarkStart w:id="79"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9"/>
    <w:bookmarkStart w:id="80"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80"/>
    <w:bookmarkStart w:id="81"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1"/>
    <w:bookmarkStart w:id="82" w:name="ref-rubin1976inference"/>
    <w:p>
      <w:pPr>
        <w:pStyle w:val="Bibliography"/>
      </w:pPr>
      <w:r>
        <w:rPr>
          <w:b/>
          <w:bCs/>
        </w:rPr>
        <w:t xml:space="preserve">32</w:t>
      </w:r>
      <w:r>
        <w:t xml:space="preserve">. Rubin DB: Inference and missing data. Biometrika 63:581–592, 1976</w:t>
      </w:r>
    </w:p>
    <w:bookmarkEnd w:id="82"/>
    <w:bookmarkStart w:id="83"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3"/>
    <w:bookmarkStart w:id="85"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4">
        <w:r>
          <w:rPr>
            <w:rStyle w:val="Hyperlink"/>
          </w:rPr>
          <w:t xml:space="preserve">https://www.tandfonline.com/doi/abs/10.2147/CLEP.S436131</w:t>
        </w:r>
        <w:r>
          <w:rPr>
            <w:rStyle w:val="Hyperlink"/>
          </w:rPr>
          <w:t xml:space="preserve"> </w:t>
        </w:r>
      </w:hyperlink>
    </w:p>
    <w:bookmarkEnd w:id="85"/>
    <w:bookmarkStart w:id="86"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6"/>
    <w:bookmarkStart w:id="87"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7"/>
    <w:bookmarkStart w:id="89"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8">
        <w:r>
          <w:rPr>
            <w:rStyle w:val="Hyperlink"/>
          </w:rPr>
          <w:t xml:space="preserve">https://arxiv.org/abs/2405.10925</w:t>
        </w:r>
      </w:hyperlink>
    </w:p>
    <w:bookmarkEnd w:id="89"/>
    <w:bookmarkStart w:id="91"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90">
        <w:r>
          <w:rPr>
            <w:rStyle w:val="Hyperlink"/>
          </w:rPr>
          <w:t xml:space="preserve">https://github.com/PamelaShaw/Missing-Confounders-Methods</w:t>
        </w:r>
      </w:hyperlink>
    </w:p>
    <w:bookmarkEnd w:id="91"/>
    <w:bookmarkStart w:id="92"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anesrake"/>
    <w:p>
      <w:pPr>
        <w:pStyle w:val="Bibliography"/>
      </w:pPr>
      <w:r>
        <w:rPr>
          <w:b/>
          <w:bCs/>
        </w:rPr>
        <w:t xml:space="preserve">51</w:t>
      </w:r>
      <w:r>
        <w:t xml:space="preserve">. Pasek J: Anesrake: ANES raking implementation, 2018</w:t>
      </w:r>
    </w:p>
    <w:bookmarkEnd w:id="105"/>
    <w:bookmarkStart w:id="107" w:name="ref-MatchThem"/>
    <w:p>
      <w:pPr>
        <w:pStyle w:val="Bibliography"/>
      </w:pPr>
      <w:r>
        <w:rPr>
          <w:b/>
          <w:bCs/>
        </w:rPr>
        <w:t xml:space="preserve">52</w:t>
      </w:r>
      <w:r>
        <w:t xml:space="preserve">. Pishgar F, Greifer N, Leyrat C, et al: MatchThem:: Matching and weighting after multiple imputation [Internet], 2021Available from:</w:t>
      </w:r>
      <w:r>
        <w:t xml:space="preserve"> </w:t>
      </w:r>
      <w:hyperlink r:id="rId106">
        <w:r>
          <w:rPr>
            <w:rStyle w:val="Hyperlink"/>
          </w:rPr>
          <w:t xml:space="preserve">https://journal.r-project.org/archive/2021/RJ-2021-073/</w:t>
        </w:r>
      </w:hyperlink>
    </w:p>
    <w:bookmarkEnd w:id="107"/>
    <w:bookmarkStart w:id="109" w:name="ref-survival"/>
    <w:p>
      <w:pPr>
        <w:pStyle w:val="Bibliography"/>
      </w:pPr>
      <w:r>
        <w:rPr>
          <w:b/>
          <w:bCs/>
        </w:rPr>
        <w:t xml:space="preserve">53</w:t>
      </w:r>
      <w:r>
        <w:t xml:space="preserve">. Therneau TM: A package for survival analysis in r [Internet], 2024Available from:</w:t>
      </w:r>
      <w:r>
        <w:t xml:space="preserve"> </w:t>
      </w:r>
      <w:hyperlink r:id="rId108">
        <w:r>
          <w:rPr>
            <w:rStyle w:val="Hyperlink"/>
          </w:rPr>
          <w:t xml:space="preserve">https://CRAN.R-project.org/package=survival</w:t>
        </w:r>
      </w:hyperlink>
    </w:p>
    <w:bookmarkEnd w:id="109"/>
    <w:bookmarkStart w:id="111" w:name="ref-encore.analytics"/>
    <w:p>
      <w:pPr>
        <w:pStyle w:val="Bibliography"/>
      </w:pPr>
      <w:r>
        <w:rPr>
          <w:b/>
          <w:bCs/>
        </w:rPr>
        <w:t xml:space="preserve">54</w:t>
      </w:r>
      <w:r>
        <w:t xml:space="preserve">. Weberpals J: Encore.analytics: Functions and wrappers to streamline complex analytic workflows in real-world data studies based on the ENCORE trial emulation project [Internet], 2025Available from:</w:t>
      </w:r>
      <w:r>
        <w:t xml:space="preserve"> </w:t>
      </w:r>
      <w:hyperlink r:id="rId110">
        <w:r>
          <w:rPr>
            <w:rStyle w:val="Hyperlink"/>
          </w:rPr>
          <w:t xml:space="preserve">https://github.com/janickweberpals/encore.analytics</w:t>
        </w:r>
      </w:hyperlink>
    </w:p>
    <w:bookmarkEnd w:id="111"/>
    <w:bookmarkStart w:id="113" w:name="ref-gtsummary"/>
    <w:p>
      <w:pPr>
        <w:pStyle w:val="Bibliography"/>
      </w:pPr>
      <w:r>
        <w:rPr>
          <w:b/>
          <w:bCs/>
        </w:rPr>
        <w:t xml:space="preserve">55</w:t>
      </w:r>
      <w:r>
        <w:t xml:space="preserve">. Sjoberg DD, Whiting K, Curry M, et al: Reproducible summary tables with the gtsummary package [Internet]13:570–580, 2021Available from:</w:t>
      </w:r>
      <w:r>
        <w:t xml:space="preserve"> </w:t>
      </w:r>
      <w:hyperlink r:id="rId112">
        <w:r>
          <w:rPr>
            <w:rStyle w:val="Hyperlink"/>
          </w:rPr>
          <w:t xml:space="preserve">https://doi.org/10.32614/RJ-2021-053</w:t>
        </w:r>
      </w:hyperlink>
    </w:p>
    <w:bookmarkEnd w:id="113"/>
    <w:bookmarkStart w:id="115" w:name="ref-ggsurvfit"/>
    <w:p>
      <w:pPr>
        <w:pStyle w:val="Bibliography"/>
      </w:pPr>
      <w:r>
        <w:rPr>
          <w:b/>
          <w:bCs/>
        </w:rPr>
        <w:t xml:space="preserve">56</w:t>
      </w:r>
      <w:r>
        <w:t xml:space="preserve">. Sjoberg DD, Baillie M, Fruechtenicht C, et al: Ggsurvfit: Flexible time-to-event figures [Internet], 2024Available from:</w:t>
      </w:r>
      <w:r>
        <w:t xml:space="preserve"> </w:t>
      </w:r>
      <w:hyperlink r:id="rId114">
        <w:r>
          <w:rPr>
            <w:rStyle w:val="Hyperlink"/>
          </w:rPr>
          <w:t xml:space="preserve">https://github.com/pharmaverse/ggsurvfit</w:t>
        </w:r>
      </w:hyperlink>
    </w:p>
    <w:bookmarkEnd w:id="115"/>
    <w:bookmarkStart w:id="116" w:name="ref-gaber2024mystifying"/>
    <w:p>
      <w:pPr>
        <w:pStyle w:val="Bibliography"/>
      </w:pPr>
      <w:r>
        <w:rPr>
          <w:b/>
          <w:bCs/>
        </w:rPr>
        <w:t xml:space="preserve">57</w:t>
      </w:r>
      <w:r>
        <w:t xml:space="preserve">. Gaber CE, Ghazarian AA, Strassle PD, et al: De-mystifying the clone-censor-weight method for causal research using observational data: A primer for cancer researchers. Cancer Medicine 13:e70461,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84"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4"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112" Target="https://doi.org/10.32614/RJ-2021-05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6" Target="https://journal.r-project.org/archive/2021/RJ-2021-073/"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4"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4"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112" Target="https://doi.org/10.32614/RJ-2021-05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6" Target="https://journal.r-project.org/archive/2021/RJ-2021-073/"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2025-07-06T14:54:53Z</dcterms:created>
  <dcterms:modified xsi:type="dcterms:W3CDTF">2025-07-06T14:54:53Z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